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_rels/header2.xml.rels" ContentType="application/vnd.openxmlformats-package.relationship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media/image7.jpeg" ContentType="image/jpeg"/>
  <Override PartName="/word/media/image6.jpeg" ContentType="image/jpeg"/>
  <Override PartName="/word/media/image5.jpeg" ContentType="image/jpeg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Title"/>
        <w:ind w:hanging="0"/>
        <w:jc w:val="center"/>
        <w:rPr/>
      </w:pPr>
      <w:r>
        <w:rPr/>
        <w:t>Orientações e requisitos para a confecção das placas de circuito impresso</w:t>
        <w:br/>
        <w:t>“CountingPRU”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Subtitle"/>
        <w:ind w:hanging="0"/>
        <w:jc w:val="right"/>
        <w:rPr/>
      </w:pPr>
      <w:r>
        <w:rPr/>
      </w:r>
    </w:p>
    <w:p>
      <w:pPr>
        <w:pStyle w:val="Subtitle"/>
        <w:ind w:hanging="0"/>
        <w:jc w:val="right"/>
        <w:rPr/>
      </w:pPr>
      <w:r>
        <w:rPr>
          <w:b/>
        </w:rPr>
        <w:t xml:space="preserve">Patrícia Henriques Nallin </w:t>
        <w:br/>
      </w:r>
      <w:r>
        <w:rPr>
          <w:i/>
        </w:rPr>
        <w:t>patricia.nallin@lnls.br</w:t>
      </w:r>
    </w:p>
    <w:p>
      <w:pPr>
        <w:pStyle w:val="Subtitle"/>
        <w:ind w:hanging="0"/>
        <w:jc w:val="right"/>
        <w:rPr>
          <w:i/>
          <w:i/>
        </w:rPr>
      </w:pPr>
      <w:r>
        <w:rPr>
          <w:i/>
        </w:rPr>
        <w:t>Grupo de Controle - LNLS</w:t>
        <w:br/>
        <w:t>(19) 3512 1195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jc w:val="center"/>
        <w:rPr/>
      </w:pPr>
      <w:r>
        <w:rPr>
          <w:i/>
        </w:rPr>
        <w:t>Agosto/2018</w:t>
      </w:r>
      <w:r>
        <w:br w:type="page"/>
      </w:r>
    </w:p>
    <w:sdt>
      <w:sdtPr>
        <w:docPartObj>
          <w:docPartGallery w:val="Table of Contents"/>
          <w:docPartUnique w:val="true"/>
        </w:docPartObj>
        <w:id w:val="2031404319"/>
      </w:sdtPr>
      <w:sdtContent>
        <w:p>
          <w:pPr>
            <w:pStyle w:val="TOCHeading"/>
            <w:ind w:firstLine="720"/>
            <w:rPr/>
          </w:pPr>
          <w:r>
            <w:rPr/>
          </w:r>
        </w:p>
        <w:p>
          <w:pPr>
            <w:pStyle w:val="TOCHeading"/>
            <w:ind w:firstLine="720"/>
            <w:rPr/>
          </w:pPr>
          <w:r>
            <w:rPr/>
            <w:t>Sumário</w:t>
          </w:r>
        </w:p>
        <w:p>
          <w:pPr>
            <w:pStyle w:val="Normal"/>
            <w:rPr>
              <w:lang w:eastAsia="pt-BR"/>
            </w:rPr>
          </w:pPr>
          <w:r>
            <w:rPr>
              <w:lang w:eastAsia="pt-BR"/>
            </w:rPr>
          </w:r>
        </w:p>
        <w:p>
          <w:pPr>
            <w:pStyle w:val="Normal"/>
            <w:rPr/>
          </w:pPr>
          <w:r>
            <w:rPr/>
          </w:r>
        </w:p>
        <w:p>
          <w:pPr>
            <w:pStyle w:val="Contents1"/>
            <w:tabs>
              <w:tab w:val="right" w:pos="10070" w:leader="dot"/>
            </w:tabs>
            <w:rPr/>
          </w:pPr>
          <w:r>
            <w:fldChar w:fldCharType="begin"/>
          </w:r>
          <w:r>
            <w:instrText> TOC \z \o "1-3" \u \h</w:instrText>
          </w:r>
          <w:r>
            <w:fldChar w:fldCharType="separate"/>
          </w:r>
          <w:hyperlink w:anchor="__RefHeading___Toc837_117361801">
            <w:r>
              <w:rPr>
                <w:webHidden/>
                <w:rStyle w:val="IndexLink"/>
                <w:vanish w:val="false"/>
              </w:rPr>
              <w:t>1.Introdução e Objetivo</w:t>
              <w:tab/>
              <w:t>3</w:t>
            </w:r>
          </w:hyperlink>
        </w:p>
        <w:p>
          <w:pPr>
            <w:pStyle w:val="Contents1"/>
            <w:tabs>
              <w:tab w:val="right" w:pos="10070" w:leader="dot"/>
            </w:tabs>
            <w:rPr/>
          </w:pPr>
          <w:hyperlink w:anchor="__RefHeading___Toc839_117361801">
            <w:r>
              <w:rPr>
                <w:webHidden/>
                <w:rStyle w:val="IndexLink"/>
                <w:vanish w:val="false"/>
              </w:rPr>
              <w:t>2.Fornecimento</w:t>
              <w:tab/>
              <w:t>3</w:t>
            </w:r>
          </w:hyperlink>
        </w:p>
        <w:p>
          <w:pPr>
            <w:pStyle w:val="Contents2"/>
            <w:tabs>
              <w:tab w:val="right" w:pos="10070" w:leader="dot"/>
            </w:tabs>
            <w:rPr/>
          </w:pPr>
          <w:hyperlink w:anchor="__RefHeading___Toc841_117361801">
            <w:r>
              <w:rPr>
                <w:webHidden/>
                <w:rStyle w:val="IndexLink"/>
                <w:vanish w:val="false"/>
              </w:rPr>
              <w:t>2.1.Placas de Circuito Impresso (PCBs)</w:t>
              <w:tab/>
              <w:t>3</w:t>
            </w:r>
          </w:hyperlink>
        </w:p>
        <w:p>
          <w:pPr>
            <w:pStyle w:val="Contents2"/>
            <w:tabs>
              <w:tab w:val="right" w:pos="10070" w:leader="dot"/>
            </w:tabs>
            <w:rPr/>
          </w:pPr>
          <w:hyperlink w:anchor="__RefHeading___Toc843_117361801">
            <w:r>
              <w:rPr>
                <w:webHidden/>
                <w:rStyle w:val="IndexLink"/>
                <w:vanish w:val="false"/>
              </w:rPr>
              <w:t>2.2.Componentes</w:t>
              <w:tab/>
              <w:t>3</w:t>
            </w:r>
          </w:hyperlink>
        </w:p>
        <w:p>
          <w:pPr>
            <w:pStyle w:val="Contents2"/>
            <w:tabs>
              <w:tab w:val="right" w:pos="10070" w:leader="dot"/>
            </w:tabs>
            <w:rPr/>
          </w:pPr>
          <w:hyperlink w:anchor="__RefHeading___Toc845_117361801">
            <w:r>
              <w:rPr>
                <w:webHidden/>
                <w:rStyle w:val="IndexLink"/>
                <w:vanish w:val="false"/>
              </w:rPr>
              <w:t>2.3.Stencil</w:t>
              <w:tab/>
              <w:t>3</w:t>
            </w:r>
          </w:hyperlink>
        </w:p>
        <w:p>
          <w:pPr>
            <w:pStyle w:val="Contents1"/>
            <w:tabs>
              <w:tab w:val="right" w:pos="10070" w:leader="dot"/>
            </w:tabs>
            <w:rPr/>
          </w:pPr>
          <w:hyperlink w:anchor="__RefHeading___Toc847_117361801">
            <w:r>
              <w:rPr>
                <w:webHidden/>
                <w:rStyle w:val="IndexLink"/>
                <w:vanish w:val="false"/>
              </w:rPr>
              <w:t>3.Testes durante a produção</w:t>
              <w:tab/>
              <w:t>3</w:t>
            </w:r>
          </w:hyperlink>
        </w:p>
        <w:p>
          <w:pPr>
            <w:pStyle w:val="Contents1"/>
            <w:tabs>
              <w:tab w:val="right" w:pos="10070" w:leader="dot"/>
            </w:tabs>
            <w:rPr/>
          </w:pPr>
          <w:hyperlink w:anchor="__RefHeading___Toc849_117361801">
            <w:r>
              <w:rPr>
                <w:webHidden/>
                <w:rStyle w:val="IndexLink"/>
                <w:vanish w:val="false"/>
              </w:rPr>
              <w:t>4.Arquivos da Placa de Circuito Impresso</w:t>
              <w:tab/>
              <w:t>4</w:t>
            </w:r>
          </w:hyperlink>
        </w:p>
        <w:p>
          <w:pPr>
            <w:pStyle w:val="Contents1"/>
            <w:tabs>
              <w:tab w:val="right" w:pos="10070" w:leader="dot"/>
            </w:tabs>
            <w:rPr/>
          </w:pPr>
          <w:hyperlink w:anchor="__RefHeading___Toc851_117361801">
            <w:r>
              <w:rPr>
                <w:webHidden/>
                <w:rStyle w:val="IndexLink"/>
                <w:vanish w:val="false"/>
              </w:rPr>
              <w:t>5.Componentes que NÃO DEVEM ser montados</w:t>
              <w:tab/>
              <w:t>4</w:t>
            </w:r>
          </w:hyperlink>
        </w:p>
        <w:p>
          <w:pPr>
            <w:pStyle w:val="Contents1"/>
            <w:tabs>
              <w:tab w:val="right" w:pos="10070" w:leader="dot"/>
            </w:tabs>
            <w:rPr/>
          </w:pPr>
          <w:hyperlink w:anchor="__RefHeading___Toc853_117361801">
            <w:r>
              <w:rPr>
                <w:webHidden/>
                <w:rStyle w:val="IndexLink"/>
                <w:vanish w:val="false"/>
              </w:rPr>
              <w:t>6.Detalhes sobre a placa final - CountingPRU</w:t>
              <w:tab/>
              <w:t>5</w:t>
            </w:r>
          </w:hyperlink>
        </w:p>
        <w:p>
          <w:pPr>
            <w:pStyle w:val="Contents1"/>
            <w:tabs>
              <w:tab w:val="right" w:pos="10070" w:leader="dot"/>
            </w:tabs>
            <w:rPr/>
          </w:pPr>
          <w:hyperlink w:anchor="__RefHeading___Toc857_117361801">
            <w:r>
              <w:rPr>
                <w:webHidden/>
                <w:rStyle w:val="IndexLink"/>
                <w:vanish w:val="false"/>
              </w:rPr>
              <w:t>7.Borda de conectores – Placa final</w:t>
              <w:tab/>
              <w:t>5</w:t>
            </w:r>
          </w:hyperlink>
        </w:p>
        <w:p>
          <w:pPr>
            <w:pStyle w:val="Contents1"/>
            <w:tabs>
              <w:tab w:val="right" w:pos="10070" w:leader="dot"/>
            </w:tabs>
            <w:rPr/>
          </w:pPr>
          <w:hyperlink w:anchor="__RefHeading___Toc859_117361801">
            <w:r>
              <w:rPr>
                <w:webHidden/>
                <w:rStyle w:val="IndexLink"/>
                <w:vanish w:val="false"/>
              </w:rPr>
              <w:t>8.Placas individuais finalizadas</w:t>
              <w:tab/>
              <w:t>6</w:t>
            </w:r>
          </w:hyperlink>
        </w:p>
        <w:p>
          <w:pPr>
            <w:pStyle w:val="Contents1"/>
            <w:tabs>
              <w:tab w:val="right" w:pos="10070" w:leader="dot"/>
            </w:tabs>
            <w:rPr/>
          </w:pPr>
          <w:hyperlink w:anchor="__RefHeading___Toc861_117361801">
            <w:r>
              <w:rPr>
                <w:webHidden/>
                <w:rStyle w:val="IndexLink"/>
                <w:vanish w:val="false"/>
              </w:rPr>
              <w:t>9.Componentes restantes do processo de montagem</w:t>
              <w:tab/>
              <w:t>6</w:t>
            </w:r>
          </w:hyperlink>
        </w:p>
        <w:p>
          <w:pPr>
            <w:pStyle w:val="Contents1"/>
            <w:tabs>
              <w:tab w:val="right" w:pos="10070" w:leader="dot"/>
            </w:tabs>
            <w:rPr/>
          </w:pPr>
          <w:hyperlink w:anchor="__RefHeading___Toc863_117361801">
            <w:r>
              <w:rPr>
                <w:webHidden/>
                <w:rStyle w:val="IndexLink"/>
                <w:vanish w:val="false"/>
              </w:rPr>
              <w:t>10.Demais considerações</w:t>
              <w:tab/>
              <w:t>6</w:t>
            </w:r>
          </w:hyperlink>
          <w:r>
            <w:fldChar w:fldCharType="end"/>
          </w:r>
        </w:p>
      </w:sdtContent>
    </w:sdt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4"/>
        </w:numPr>
        <w:rPr>
          <w:rStyle w:val="ListLabel1"/>
        </w:rPr>
      </w:pPr>
      <w:bookmarkStart w:id="0" w:name="_Toc490224424"/>
      <w:bookmarkStart w:id="1" w:name="__RefHeading___Toc837_117361801"/>
      <w:bookmarkEnd w:id="0"/>
      <w:bookmarkEnd w:id="1"/>
      <w:r>
        <w:rPr>
          <w:rStyle w:val="ListLabel1"/>
        </w:rPr>
        <w:t>Introdução e Objetivo</w:t>
      </w:r>
    </w:p>
    <w:p>
      <w:pPr>
        <w:pStyle w:val="Normal"/>
        <w:ind w:hanging="0"/>
        <w:rPr/>
      </w:pPr>
      <w:r>
        <w:rPr/>
      </w:r>
    </w:p>
    <w:p>
      <w:pPr>
        <w:pStyle w:val="Normal"/>
        <w:rPr/>
      </w:pPr>
      <w:r>
        <w:rPr/>
        <w:t xml:space="preserve">Este documento tem por finalidade auxiliar e orientar sobre a montagem das placas de circuitos impressos, do projeto </w:t>
      </w:r>
      <w:r>
        <w:rPr>
          <w:b/>
          <w:i/>
        </w:rPr>
        <w:t>CountingPRU</w:t>
      </w:r>
      <w:r>
        <w:rPr/>
        <w:t>.</w:t>
      </w:r>
    </w:p>
    <w:p>
      <w:pPr>
        <w:pStyle w:val="Normal"/>
        <w:rPr/>
      </w:pPr>
      <w:r>
        <w:rPr/>
        <w:t>Qualquer dúvida ou não-conformidade que surgir durante o processo, deve-se contatar o responsável no CNPEM/LNLS, minimizando, assim, possíveis atrasos na entrega e/ou problemas de qualidade.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bookmarkStart w:id="2" w:name="_Toc490224425"/>
      <w:bookmarkStart w:id="3" w:name="__RefHeading___Toc839_117361801"/>
      <w:bookmarkEnd w:id="2"/>
      <w:bookmarkEnd w:id="3"/>
      <w:r>
        <w:rPr/>
        <w:t>Fornecimento</w:t>
      </w:r>
    </w:p>
    <w:p>
      <w:pPr>
        <w:pStyle w:val="Heading2"/>
        <w:numPr>
          <w:ilvl w:val="1"/>
          <w:numId w:val="4"/>
        </w:numPr>
        <w:rPr/>
      </w:pPr>
      <w:bookmarkStart w:id="4" w:name="_Toc490224426"/>
      <w:bookmarkStart w:id="5" w:name="__RefHeading___Toc841_117361801"/>
      <w:bookmarkEnd w:id="4"/>
      <w:bookmarkEnd w:id="5"/>
      <w:r>
        <w:rPr/>
        <w:t>Placas de Circuito Impresso (PCBs)</w:t>
      </w:r>
    </w:p>
    <w:p>
      <w:pPr>
        <w:pStyle w:val="Normal"/>
        <w:rPr/>
      </w:pPr>
      <w:bookmarkStart w:id="6" w:name="__DdeLink__497_117361801"/>
      <w:r>
        <w:rPr/>
        <w:t>As placas de circuito impresso serão fornecidas pel</w:t>
      </w:r>
      <w:bookmarkEnd w:id="6"/>
      <w:r>
        <w:rPr/>
        <w:t>o CNPEM, fabricadas em painéis de acordo com as especificações e recomendações da montadora.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4"/>
        </w:numPr>
        <w:rPr/>
      </w:pPr>
      <w:bookmarkStart w:id="7" w:name="_Toc490224427"/>
      <w:bookmarkStart w:id="8" w:name="__RefHeading___Toc843_117361801"/>
      <w:bookmarkEnd w:id="7"/>
      <w:bookmarkEnd w:id="8"/>
      <w:r>
        <w:rPr/>
        <w:t>Componentes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Os componentes necessários serão fornecidos pelo CNPEM, em quantidade igual ou maior do que as necessárias. Componentes restantes do processo de montagem devem ser enviados de volta com identificação e quantidade restante.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4"/>
        </w:numPr>
        <w:rPr/>
      </w:pPr>
      <w:bookmarkStart w:id="9" w:name="_Toc490224428"/>
      <w:bookmarkStart w:id="10" w:name="__RefHeading___Toc845_117361801"/>
      <w:bookmarkEnd w:id="9"/>
      <w:bookmarkEnd w:id="10"/>
      <w:r>
        <w:rPr/>
        <w:t>Stencil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Os stencils serão fornecidas pelo CNPEM, fabricados acordo com as especificações e recomendações da montadora.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bookmarkStart w:id="11" w:name="_Toc490224429"/>
      <w:bookmarkStart w:id="12" w:name="_Toc490152556"/>
      <w:bookmarkStart w:id="13" w:name="__RefHeading___Toc847_117361801"/>
      <w:bookmarkEnd w:id="11"/>
      <w:bookmarkEnd w:id="12"/>
      <w:bookmarkEnd w:id="13"/>
      <w:r>
        <w:rPr/>
        <w:t>Testes durante a produção</w:t>
      </w:r>
    </w:p>
    <w:p>
      <w:pPr>
        <w:pStyle w:val="Normal"/>
        <w:rPr/>
      </w:pPr>
      <w:r>
        <w:rPr/>
      </w:r>
    </w:p>
    <w:p>
      <w:pPr>
        <w:pStyle w:val="Normal"/>
        <w:rPr/>
      </w:pPr>
      <w:bookmarkStart w:id="14" w:name="_GoBack"/>
      <w:bookmarkEnd w:id="14"/>
      <w:r>
        <w:rPr/>
        <w:t>Os testes que devem ser feitos, no mínimo, são:</w: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3"/>
        </w:numPr>
        <w:rPr/>
      </w:pPr>
      <w:r>
        <w:rPr/>
        <w:t>Inspeção do volume de pasta de solda SMD</w:t>
      </w:r>
    </w:p>
    <w:p>
      <w:pPr>
        <w:pStyle w:val="ListParagraph"/>
        <w:numPr>
          <w:ilvl w:val="0"/>
          <w:numId w:val="3"/>
        </w:numPr>
        <w:rPr/>
      </w:pPr>
      <w:r>
        <w:rPr/>
        <w:t>Inspeção dos valores dos componentes e conformidade das soldas (SMD e PTH)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bookmarkStart w:id="15" w:name="_Toc490224431"/>
      <w:bookmarkStart w:id="16" w:name="__RefHeading___Toc849_117361801"/>
      <w:bookmarkEnd w:id="15"/>
      <w:bookmarkEnd w:id="16"/>
      <w:r>
        <w:rPr/>
        <w:t>Arquivos da Placa de Circuito Impresso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Cabe ao responsável do CNPEM/LNLS fornecer todos os arquivos necessários do projeto da placa de circuito impresso MBTemp a ser montada. Tais arquivos incluem:</w:t>
      </w:r>
    </w:p>
    <w:p>
      <w:pPr>
        <w:pStyle w:val="ListParagraph"/>
        <w:numPr>
          <w:ilvl w:val="0"/>
          <w:numId w:val="2"/>
        </w:numPr>
        <w:rPr/>
      </w:pPr>
      <w:r>
        <w:rPr/>
        <w:t>Arquivos Gerber utilizados na fabricação da PCI</w:t>
      </w:r>
    </w:p>
    <w:p>
      <w:pPr>
        <w:pStyle w:val="ListParagraph"/>
        <w:numPr>
          <w:ilvl w:val="0"/>
          <w:numId w:val="2"/>
        </w:numPr>
        <w:rPr/>
      </w:pPr>
      <w:r>
        <w:rPr/>
        <w:t>BOM (lista de materiais)</w:t>
      </w:r>
    </w:p>
    <w:p>
      <w:pPr>
        <w:pStyle w:val="ListParagraph"/>
        <w:numPr>
          <w:ilvl w:val="0"/>
          <w:numId w:val="2"/>
        </w:numPr>
        <w:rPr/>
      </w:pPr>
      <w:r>
        <w:rPr/>
        <w:t>Esquemático do projeto</w:t>
      </w:r>
    </w:p>
    <w:p>
      <w:pPr>
        <w:pStyle w:val="ListParagraph"/>
        <w:numPr>
          <w:ilvl w:val="0"/>
          <w:numId w:val="2"/>
        </w:numPr>
        <w:rPr/>
      </w:pPr>
      <w:r>
        <w:rPr/>
        <w:t>Arquivos completos do KiCad*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*O KiCad é uma plataforma CAD open-source para eletrônica, sendo possível criar desde esquemáticos até as respectivas placas de circuito impresso. Todo o material foi desenvolvido nessa plataforma e a montadora pode consultá-lo quando necessário, uma vez que o software é gratuito.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bookmarkStart w:id="17" w:name="_Toc490224432"/>
      <w:bookmarkStart w:id="18" w:name="__RefHeading___Toc851_117361801"/>
      <w:bookmarkEnd w:id="18"/>
      <w:r>
        <w:rPr/>
        <w:t xml:space="preserve">Componentes que </w:t>
      </w:r>
      <w:r>
        <w:rPr>
          <w:b/>
        </w:rPr>
        <w:t>NÃO DEVEM</w:t>
      </w:r>
      <w:bookmarkEnd w:id="17"/>
      <w:r>
        <w:rPr/>
        <w:t xml:space="preserve"> ser montados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Alguns componentes da placa CountingPRU não serão montados e </w:t>
      </w:r>
      <w:r>
        <w:rPr>
          <w:b/>
        </w:rPr>
        <w:t>também</w:t>
      </w:r>
      <w:r>
        <w:rPr/>
        <w:t xml:space="preserve"> </w:t>
      </w:r>
      <w:r>
        <w:rPr>
          <w:b/>
        </w:rPr>
        <w:t>não serão ornecidos pelo CNPEM</w:t>
      </w:r>
      <w:r>
        <w:rPr/>
        <w:t>. Eles estão especificados na BOM do projeto.</w:t>
      </w:r>
    </w:p>
    <w:p>
      <w:pPr>
        <w:pStyle w:val="Normal"/>
        <w:rPr/>
      </w:pPr>
      <w:r>
        <w:rPr/>
        <w:t>São eles: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TabeladeGrade4-nfase1"/>
        <w:tblW w:w="9531" w:type="dxa"/>
        <w:jc w:val="center"/>
        <w:tblInd w:w="0" w:type="dxa"/>
        <w:tblCellMar>
          <w:top w:w="0" w:type="dxa"/>
          <w:left w:w="93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058"/>
        <w:gridCol w:w="1645"/>
        <w:gridCol w:w="1203"/>
        <w:gridCol w:w="2051"/>
        <w:gridCol w:w="1262"/>
        <w:gridCol w:w="1281"/>
        <w:gridCol w:w="1030"/>
      </w:tblGrid>
      <w:tr>
        <w:trPr>
          <w:trHeight w:val="510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05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single" w:sz="4" w:space="0" w:color="4F81BD"/>
              <w:insideH w:val="single" w:sz="4" w:space="0" w:color="4F81BD"/>
              <w:insideV w:val="single" w:sz="4" w:space="0" w:color="4F81BD"/>
            </w:tcBorders>
            <w:shd w:color="auto" w:fill="4F81BD" w:themeFill="accent1" w:val="clear"/>
            <w:tcMar>
              <w:left w:w="93" w:type="dxa"/>
            </w:tcMar>
            <w:vAlign w:val="center"/>
          </w:tcPr>
          <w:p>
            <w:pPr>
              <w:pStyle w:val="Normal"/>
              <w:ind w:hanging="0"/>
              <w:jc w:val="center"/>
              <w:rPr>
                <w:rFonts w:ascii="Arial" w:hAnsi="Arial" w:eastAsia="Times New Roman" w:cs="Arial"/>
                <w:color w:val="FFFFFF"/>
                <w:sz w:val="20"/>
                <w:szCs w:val="20"/>
                <w:lang w:eastAsia="pt-BR"/>
              </w:rPr>
            </w:pPr>
            <w:r>
              <w:rPr>
                <w:rFonts w:eastAsia="Times New Roman" w:cs="Arial" w:ascii="Arial" w:hAnsi="Arial"/>
                <w:b/>
                <w:bCs w:val="false"/>
                <w:color w:val="FFFFFF"/>
                <w:sz w:val="20"/>
                <w:szCs w:val="20"/>
                <w:lang w:eastAsia="pt-BR"/>
              </w:rPr>
              <w:t>Design.</w:t>
            </w:r>
          </w:p>
        </w:tc>
        <w:tc>
          <w:tcPr>
            <w:tcW w:w="1645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single" w:sz="4" w:space="0" w:color="4F81BD"/>
              <w:insideH w:val="single" w:sz="4" w:space="0" w:color="4F81BD"/>
              <w:insideV w:val="single" w:sz="4" w:space="0" w:color="4F81BD"/>
            </w:tcBorders>
            <w:shd w:color="auto" w:fill="4F81BD" w:themeFill="accent1" w:val="clear"/>
            <w:tcMar>
              <w:left w:w="93" w:type="dxa"/>
            </w:tcMar>
            <w:vAlign w:val="center"/>
          </w:tcPr>
          <w:p>
            <w:pPr>
              <w:pStyle w:val="Normal"/>
              <w:ind w:hang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color w:val="FFFFFF"/>
                <w:sz w:val="20"/>
                <w:szCs w:val="20"/>
                <w:lang w:eastAsia="pt-BR"/>
              </w:rPr>
            </w:pPr>
            <w:r>
              <w:rPr>
                <w:rFonts w:eastAsia="Times New Roman" w:cs="Arial" w:ascii="Arial" w:hAnsi="Arial"/>
                <w:b/>
                <w:bCs/>
                <w:color w:val="FFFFFF"/>
                <w:sz w:val="20"/>
                <w:szCs w:val="20"/>
                <w:lang w:eastAsia="pt-BR"/>
              </w:rPr>
              <w:t>Description</w:t>
            </w:r>
          </w:p>
        </w:tc>
        <w:tc>
          <w:tcPr>
            <w:tcW w:w="1203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single" w:sz="4" w:space="0" w:color="4F81BD"/>
              <w:insideH w:val="single" w:sz="4" w:space="0" w:color="4F81BD"/>
              <w:insideV w:val="single" w:sz="4" w:space="0" w:color="4F81BD"/>
            </w:tcBorders>
            <w:shd w:color="auto" w:fill="4F81BD" w:themeFill="accent1" w:val="clear"/>
            <w:tcMar>
              <w:left w:w="93" w:type="dxa"/>
            </w:tcMar>
            <w:vAlign w:val="center"/>
          </w:tcPr>
          <w:p>
            <w:pPr>
              <w:pStyle w:val="Normal"/>
              <w:ind w:hang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color w:val="FFFFFF"/>
                <w:sz w:val="20"/>
                <w:szCs w:val="20"/>
                <w:lang w:eastAsia="pt-BR"/>
              </w:rPr>
            </w:pPr>
            <w:r>
              <w:rPr>
                <w:rFonts w:eastAsia="Times New Roman" w:cs="Arial" w:ascii="Arial" w:hAnsi="Arial"/>
                <w:b/>
                <w:bCs/>
                <w:color w:val="FFFFFF"/>
                <w:sz w:val="20"/>
                <w:szCs w:val="20"/>
                <w:lang w:eastAsia="pt-BR"/>
              </w:rPr>
              <w:t>Value</w:t>
            </w:r>
          </w:p>
        </w:tc>
        <w:tc>
          <w:tcPr>
            <w:tcW w:w="2051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single" w:sz="4" w:space="0" w:color="4F81BD"/>
              <w:insideH w:val="single" w:sz="4" w:space="0" w:color="4F81BD"/>
              <w:insideV w:val="single" w:sz="4" w:space="0" w:color="4F81BD"/>
            </w:tcBorders>
            <w:shd w:color="auto" w:fill="4F81BD" w:themeFill="accent1" w:val="clear"/>
            <w:tcMar>
              <w:left w:w="93" w:type="dxa"/>
            </w:tcMar>
            <w:vAlign w:val="center"/>
          </w:tcPr>
          <w:p>
            <w:pPr>
              <w:pStyle w:val="Normal"/>
              <w:ind w:hang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color w:val="FFFFFF"/>
                <w:sz w:val="20"/>
                <w:szCs w:val="20"/>
                <w:lang w:eastAsia="pt-BR"/>
              </w:rPr>
            </w:pPr>
            <w:r>
              <w:rPr>
                <w:rFonts w:eastAsia="Times New Roman" w:cs="Arial" w:ascii="Arial" w:hAnsi="Arial"/>
                <w:b/>
                <w:bCs/>
                <w:color w:val="FFFFFF"/>
                <w:sz w:val="20"/>
                <w:szCs w:val="20"/>
                <w:lang w:eastAsia="pt-BR"/>
              </w:rPr>
              <w:t>PartNumber</w:t>
            </w:r>
          </w:p>
        </w:tc>
        <w:tc>
          <w:tcPr>
            <w:tcW w:w="1262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single" w:sz="4" w:space="0" w:color="4F81BD"/>
              <w:insideH w:val="single" w:sz="4" w:space="0" w:color="4F81BD"/>
              <w:insideV w:val="single" w:sz="4" w:space="0" w:color="4F81BD"/>
            </w:tcBorders>
            <w:shd w:color="auto" w:fill="4F81BD" w:themeFill="accent1" w:val="clear"/>
            <w:tcMar>
              <w:left w:w="93" w:type="dxa"/>
            </w:tcMar>
            <w:vAlign w:val="center"/>
          </w:tcPr>
          <w:p>
            <w:pPr>
              <w:pStyle w:val="Normal"/>
              <w:ind w:hang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color w:val="FFFFFF"/>
                <w:sz w:val="20"/>
                <w:szCs w:val="20"/>
                <w:lang w:eastAsia="pt-BR"/>
              </w:rPr>
            </w:pPr>
            <w:r>
              <w:rPr>
                <w:rFonts w:eastAsia="Times New Roman" w:cs="Arial" w:ascii="Arial" w:hAnsi="Arial"/>
                <w:b/>
                <w:bCs/>
                <w:color w:val="FFFFFF"/>
                <w:sz w:val="20"/>
                <w:szCs w:val="20"/>
                <w:lang w:eastAsia="pt-BR"/>
              </w:rPr>
              <w:t>Package</w:t>
            </w:r>
          </w:p>
        </w:tc>
        <w:tc>
          <w:tcPr>
            <w:tcW w:w="1281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single" w:sz="4" w:space="0" w:color="4F81BD"/>
              <w:insideH w:val="single" w:sz="4" w:space="0" w:color="4F81BD"/>
              <w:insideV w:val="single" w:sz="4" w:space="0" w:color="4F81BD"/>
            </w:tcBorders>
            <w:shd w:color="auto" w:fill="4F81BD" w:themeFill="accent1" w:val="clear"/>
            <w:tcMar>
              <w:left w:w="93" w:type="dxa"/>
            </w:tcMar>
            <w:vAlign w:val="center"/>
          </w:tcPr>
          <w:p>
            <w:pPr>
              <w:pStyle w:val="Normal"/>
              <w:ind w:hang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color w:val="FFFFFF"/>
                <w:sz w:val="20"/>
                <w:szCs w:val="20"/>
                <w:lang w:eastAsia="pt-BR"/>
              </w:rPr>
            </w:pPr>
            <w:r>
              <w:rPr>
                <w:rFonts w:eastAsia="Times New Roman" w:cs="Arial" w:ascii="Arial" w:hAnsi="Arial"/>
                <w:b/>
                <w:bCs/>
                <w:color w:val="FFFFFF"/>
                <w:sz w:val="20"/>
                <w:szCs w:val="20"/>
                <w:lang w:eastAsia="pt-BR"/>
              </w:rPr>
              <w:t>Manufact.</w:t>
            </w:r>
          </w:p>
        </w:tc>
        <w:tc>
          <w:tcPr>
            <w:tcW w:w="1030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single" w:sz="4" w:space="0" w:color="4F81BD"/>
              <w:insideH w:val="single" w:sz="4" w:space="0" w:color="4F81BD"/>
              <w:insideV w:val="single" w:sz="4" w:space="0" w:color="4F81BD"/>
            </w:tcBorders>
            <w:shd w:color="auto" w:fill="4F81BD" w:themeFill="accent1" w:val="clear"/>
            <w:tcMar>
              <w:left w:w="93" w:type="dxa"/>
            </w:tcMar>
            <w:vAlign w:val="center"/>
          </w:tcPr>
          <w:p>
            <w:pPr>
              <w:pStyle w:val="Normal"/>
              <w:ind w:hang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color w:val="FFFFFF"/>
                <w:sz w:val="20"/>
                <w:szCs w:val="20"/>
                <w:lang w:eastAsia="pt-BR"/>
              </w:rPr>
            </w:pPr>
            <w:r>
              <w:rPr>
                <w:rFonts w:eastAsia="Times New Roman" w:cs="Arial" w:ascii="Arial" w:hAnsi="Arial"/>
                <w:b/>
                <w:bCs/>
                <w:color w:val="FFFFFF"/>
                <w:sz w:val="20"/>
                <w:szCs w:val="20"/>
                <w:lang w:eastAsia="pt-BR"/>
              </w:rPr>
              <w:t>Quantity</w:t>
            </w:r>
          </w:p>
        </w:tc>
      </w:tr>
      <w:tr>
        <w:trPr>
          <w:trHeight w:val="765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05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BE5F1" w:themeFill="accent1" w:themeFillTint="33" w:val="clear"/>
            <w:tcMar>
              <w:left w:w="93" w:type="dxa"/>
            </w:tcMar>
            <w:vAlign w:val="center"/>
          </w:tcPr>
          <w:p>
            <w:pPr>
              <w:pStyle w:val="Normal"/>
              <w:ind w:hanging="0"/>
              <w:jc w:val="center"/>
              <w:rPr>
                <w:b/>
                <w:b/>
                <w:bCs/>
              </w:rPr>
            </w:pPr>
            <w:r>
              <w:rPr>
                <w:rFonts w:eastAsia="Times New Roman" w:cs="Arial" w:ascii="Arial" w:hAnsi="Arial"/>
                <w:b/>
                <w:bCs/>
                <w:sz w:val="20"/>
                <w:szCs w:val="20"/>
                <w:lang w:eastAsia="pt-BR"/>
              </w:rPr>
              <w:t>R1,R2,R23,R24</w:t>
            </w:r>
          </w:p>
        </w:tc>
        <w:tc>
          <w:tcPr>
            <w:tcW w:w="1645" w:type="dxa"/>
            <w:tcBorders/>
            <w:shd w:color="auto" w:fill="DBE5F1" w:themeFill="accent1" w:themeFillTint="33" w:val="clear"/>
            <w:tcMar>
              <w:left w:w="93" w:type="dxa"/>
            </w:tcMar>
            <w:vAlign w:val="center"/>
          </w:tcPr>
          <w:p>
            <w:pPr>
              <w:pStyle w:val="Normal"/>
              <w:ind w:hang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sz w:val="20"/>
                <w:szCs w:val="20"/>
                <w:lang w:val="en-US"/>
              </w:rPr>
              <w:t>Resistor Jumper 0 ohm 1% 1/8W SMD 0805 Thick Film</w:t>
            </w:r>
          </w:p>
        </w:tc>
        <w:tc>
          <w:tcPr>
            <w:tcW w:w="1203" w:type="dxa"/>
            <w:tcBorders/>
            <w:shd w:color="auto" w:fill="DBE5F1" w:themeFill="accent1" w:themeFillTint="33" w:val="clear"/>
            <w:tcMar>
              <w:left w:w="93" w:type="dxa"/>
            </w:tcMar>
            <w:vAlign w:val="center"/>
          </w:tcPr>
          <w:p>
            <w:pPr>
              <w:pStyle w:val="Normal"/>
              <w:ind w:hang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sz w:val="20"/>
                <w:szCs w:val="20"/>
                <w:lang w:val="en-US"/>
              </w:rPr>
              <w:t>0 Ω</w:t>
            </w:r>
          </w:p>
        </w:tc>
        <w:tc>
          <w:tcPr>
            <w:tcW w:w="2051" w:type="dxa"/>
            <w:tcBorders/>
            <w:shd w:color="auto" w:fill="DBE5F1" w:themeFill="accent1" w:themeFillTint="33" w:val="clear"/>
            <w:tcMar>
              <w:left w:w="93" w:type="dxa"/>
            </w:tcMar>
            <w:vAlign w:val="center"/>
          </w:tcPr>
          <w:p>
            <w:pPr>
              <w:pStyle w:val="Normal"/>
              <w:ind w:hang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RC0805JR-070RL</w:t>
            </w:r>
          </w:p>
        </w:tc>
        <w:tc>
          <w:tcPr>
            <w:tcW w:w="1262" w:type="dxa"/>
            <w:tcBorders/>
            <w:shd w:color="auto" w:fill="DBE5F1" w:themeFill="accent1" w:themeFillTint="33" w:val="clear"/>
            <w:tcMar>
              <w:left w:w="93" w:type="dxa"/>
            </w:tcMar>
            <w:vAlign w:val="center"/>
          </w:tcPr>
          <w:p>
            <w:pPr>
              <w:pStyle w:val="Normal"/>
              <w:ind w:hang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0805</w:t>
            </w:r>
          </w:p>
        </w:tc>
        <w:tc>
          <w:tcPr>
            <w:tcW w:w="1281" w:type="dxa"/>
            <w:tcBorders/>
            <w:shd w:color="auto" w:fill="DBE5F1" w:themeFill="accent1" w:themeFillTint="33" w:val="clear"/>
            <w:tcMar>
              <w:left w:w="93" w:type="dxa"/>
            </w:tcMar>
            <w:vAlign w:val="center"/>
          </w:tcPr>
          <w:p>
            <w:pPr>
              <w:pStyle w:val="Normal"/>
              <w:ind w:hang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 w:val="20"/>
                <w:szCs w:val="20"/>
                <w:lang w:eastAsia="pt-BR"/>
              </w:rPr>
            </w:pPr>
            <w:r>
              <w:rPr>
                <w:rFonts w:eastAsia="Times New Roman" w:cs="Arial" w:ascii="Arial" w:hAnsi="Arial"/>
                <w:sz w:val="20"/>
                <w:szCs w:val="20"/>
                <w:lang w:eastAsia="pt-BR"/>
              </w:rPr>
              <w:t>Yageo</w:t>
            </w:r>
          </w:p>
        </w:tc>
        <w:tc>
          <w:tcPr>
            <w:tcW w:w="1030" w:type="dxa"/>
            <w:tcBorders/>
            <w:shd w:color="auto" w:fill="DBE5F1" w:themeFill="accent1" w:themeFillTint="33" w:val="clear"/>
            <w:tcMar>
              <w:left w:w="93" w:type="dxa"/>
            </w:tcMar>
            <w:vAlign w:val="center"/>
          </w:tcPr>
          <w:p>
            <w:pPr>
              <w:pStyle w:val="Normal"/>
              <w:ind w:hang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>
                <w:rFonts w:eastAsia="Times New Roman" w:cs="Arial" w:ascii="Arial" w:hAnsi="Arial"/>
                <w:sz w:val="20"/>
                <w:szCs w:val="20"/>
                <w:lang w:eastAsia="pt-BR"/>
              </w:rPr>
              <w:t>4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bookmarkStart w:id="19" w:name="_Toc490224433"/>
      <w:bookmarkStart w:id="20" w:name="_Toc490153482"/>
      <w:bookmarkStart w:id="21" w:name="__RefHeading___Toc853_117361801"/>
      <w:bookmarkEnd w:id="21"/>
      <w:r>
        <w:rPr/>
        <w:t xml:space="preserve">Detalhes sobre a placa final - </w:t>
      </w:r>
      <w:bookmarkEnd w:id="19"/>
      <w:bookmarkEnd w:id="20"/>
      <w:r>
        <w:rPr/>
        <w:t>CountingPRU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11430</wp:posOffset>
            </wp:positionH>
            <wp:positionV relativeFrom="paragraph">
              <wp:posOffset>136525</wp:posOffset>
            </wp:positionV>
            <wp:extent cx="3304540" cy="2024380"/>
            <wp:effectExtent l="0" t="0" r="0" b="0"/>
            <wp:wrapTopAndBottom/>
            <wp:docPr id="1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15011" r="0" b="5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4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3315335</wp:posOffset>
            </wp:positionH>
            <wp:positionV relativeFrom="paragraph">
              <wp:posOffset>160020</wp:posOffset>
            </wp:positionV>
            <wp:extent cx="3266440" cy="2000885"/>
            <wp:effectExtent l="0" t="0" r="0" b="0"/>
            <wp:wrapSquare wrapText="largest"/>
            <wp:docPr id="2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15011" r="0" b="5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44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aption1"/>
        <w:ind w:hanging="0"/>
        <w:jc w:val="center"/>
        <w:rPr/>
      </w:pPr>
      <w:r>
        <w:rPr/>
        <w:t xml:space="preserve">Figura </w:t>
      </w:r>
      <w:r>
        <w:rPr/>
        <w:fldChar w:fldCharType="begin"/>
      </w:r>
      <w:r>
        <w:instrText> SEQ Figura \* ARABIC </w:instrText>
      </w:r>
      <w:r>
        <w:fldChar w:fldCharType="separate"/>
      </w:r>
      <w:r>
        <w:t>1</w:t>
      </w:r>
      <w:r>
        <w:fldChar w:fldCharType="end"/>
      </w:r>
      <w:r>
        <w:rPr/>
        <w:t xml:space="preserve">: </w:t>
      </w:r>
      <w:r>
        <w:rPr/>
        <w:t>CountingPRU</w:t>
      </w:r>
      <w:r>
        <w:rPr/>
        <w:t xml:space="preserve"> - Placa semelhante a este modelo</w:t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bookmarkStart w:id="22" w:name="_Toc490224437"/>
      <w:bookmarkStart w:id="23" w:name="__RefHeading___Toc857_117361801"/>
      <w:bookmarkEnd w:id="22"/>
      <w:bookmarkEnd w:id="23"/>
      <w:r>
        <w:rPr/>
        <w:t>Borda de conectores – Placa final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Em uma das bordas da placa principal, pode-se encontrar conectores de interface. Esses, após soldados, devem se apresentar conforme a figura abaixo: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07510" cy="1610995"/>
            <wp:effectExtent l="0" t="0" r="0" b="0"/>
            <wp:wrapSquare wrapText="largest"/>
            <wp:docPr id="3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25013" r="0" b="25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keepNext/>
        <w:ind w:hanging="0"/>
        <w:jc w:val="center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36085" cy="1621790"/>
            <wp:effectExtent l="0" t="0" r="0" b="0"/>
            <wp:wrapTopAndBottom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25013" r="0" b="25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085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aption1"/>
        <w:ind w:hanging="0"/>
        <w:jc w:val="center"/>
        <w:rPr/>
      </w:pPr>
      <w:r>
        <w:rPr/>
        <w:t xml:space="preserve">Figura </w:t>
      </w:r>
      <w:r>
        <w:rPr/>
        <w:fldChar w:fldCharType="begin"/>
      </w:r>
      <w:r>
        <w:instrText> SEQ Figura \* ARABIC </w:instrText>
      </w:r>
      <w:r>
        <w:fldChar w:fldCharType="separate"/>
      </w:r>
      <w:r>
        <w:t>2</w:t>
      </w:r>
      <w:r>
        <w:fldChar w:fldCharType="end"/>
      </w:r>
      <w:r>
        <w:rPr/>
        <w:t>: Borda com conectores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u w:val="single"/>
        </w:rPr>
        <w:t>ATENÇÃO</w:t>
      </w:r>
      <w:r>
        <w:rPr>
          <w:b/>
        </w:rPr>
        <w:t>: Os conectores IDC de 1,27mm de passo (P1,P2 – CNC Tech) devem ficar alinhados com a placa. Em caso de grande desalinhamento, a montagem mecânica em caixas de alumínio ficará prejudicada.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/>
      </w:r>
    </w:p>
    <w:p>
      <w:pPr>
        <w:pStyle w:val="Normal"/>
        <w:keepNext/>
        <w:ind w:hanging="0"/>
        <w:jc w:val="center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323465" cy="1494155"/>
            <wp:effectExtent l="0" t="0" r="0" b="0"/>
            <wp:wrapTopAndBottom/>
            <wp:docPr id="5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65039" t="40024" r="0"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465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aption1"/>
        <w:ind w:hanging="0"/>
        <w:jc w:val="center"/>
        <w:rPr/>
      </w:pPr>
      <w:r>
        <w:rPr/>
        <w:t xml:space="preserve">Figura </w:t>
      </w:r>
      <w:r>
        <w:rPr/>
        <w:fldChar w:fldCharType="begin"/>
      </w:r>
      <w:r>
        <w:instrText> SEQ Figura \* ARABIC </w:instrText>
      </w:r>
      <w:r>
        <w:fldChar w:fldCharType="separate"/>
      </w:r>
      <w:r>
        <w:t>3</w:t>
      </w:r>
      <w:r>
        <w:fldChar w:fldCharType="end"/>
      </w:r>
      <w:r>
        <w:rPr/>
        <w:t>: Conectores IDC 1,27mm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bookmarkStart w:id="24" w:name="_Toc490224438"/>
      <w:bookmarkStart w:id="25" w:name="_Toc490153488"/>
      <w:bookmarkStart w:id="26" w:name="__RefHeading___Toc859_117361801"/>
      <w:bookmarkEnd w:id="24"/>
      <w:bookmarkEnd w:id="25"/>
      <w:bookmarkEnd w:id="26"/>
      <w:r>
        <w:rPr/>
        <w:t>Placas individuais finalizadas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Antes de serem enviadas ao CNPEM, as placas devem ser recortadas dos painéis, eliminando todas as rebarbas. Em seguida, devem ser encaminhadas para a Jiga de Testes e, após, para as montagens mecânicas.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bookmarkStart w:id="27" w:name="_Toc490224439"/>
      <w:bookmarkStart w:id="28" w:name="__RefHeading___Toc861_117361801"/>
      <w:bookmarkEnd w:id="27"/>
      <w:bookmarkEnd w:id="28"/>
      <w:r>
        <w:rPr/>
        <w:t>Componentes restantes do processo de montagem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O envio dos componentes restantes ao CNPEM/LNLS, comprados como margem para montagem das placas, deve ocorrer após a finalização do processo. Todos os componentes devem estar devidamente embalados e etiquetados, sinalizando o </w:t>
      </w:r>
      <w:r>
        <w:rPr>
          <w:i/>
        </w:rPr>
        <w:t>part-number</w:t>
      </w:r>
      <w:r>
        <w:rPr/>
        <w:t xml:space="preserve"> e quantidade.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bookmarkStart w:id="29" w:name="_Toc490224440"/>
      <w:bookmarkStart w:id="30" w:name="__RefHeading___Toc863_117361801"/>
      <w:bookmarkEnd w:id="29"/>
      <w:bookmarkEnd w:id="30"/>
      <w:r>
        <w:rPr/>
        <w:t>Demais considerações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Para dúvidas, dificuldades, divergências ou quaisquer outros assuntos não abordados neste documento e que sejam de relevância para a boa montagem das placas, a montadora deverá entrar em contato com o responsável pelo projeto no CNPEM/LNLS.</w:t>
      </w:r>
    </w:p>
    <w:sectPr>
      <w:headerReference w:type="default" r:id="rId7"/>
      <w:headerReference w:type="first" r:id="rId8"/>
      <w:footerReference w:type="default" r:id="rId9"/>
      <w:type w:val="nextPage"/>
      <w:pgSz w:w="11906" w:h="16838"/>
      <w:pgMar w:left="993" w:right="843" w:header="708" w:top="1440" w:footer="708" w:bottom="1440" w:gutter="0"/>
      <w:pgNumType w:fmt="decimal"/>
      <w:formProt w:val="false"/>
      <w:titlePg/>
      <w:textDirection w:val="lrTb"/>
      <w:docGrid w:type="default" w:linePitch="326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Lucida Grande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Wingdings">
    <w:charset w:val="02"/>
    <w:family w:val="auto"/>
    <w:pitch w:val="default"/>
  </w:font>
  <w:font w:name="Courier New">
    <w:charset w:val="01"/>
    <w:family w:val="modern"/>
    <w:pitch w:val="fixed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1304577909"/>
    </w:sdtPr>
    <w:sdtContent>
      <w:p>
        <w:pPr>
          <w:pStyle w:val="Footer"/>
          <w:ind w:hanging="0"/>
          <w:jc w:val="center"/>
          <w:rPr/>
        </w:pPr>
        <w:r>
          <w:rPr/>
          <mc:AlternateContent>
            <mc:Choice Requires="wps">
              <w:drawing>
                <wp:inline distT="0" distB="0" distL="0" distR="0" wp14:anchorId="6A804E38">
                  <wp:extent cx="5469890" cy="47625"/>
                  <wp:effectExtent l="0" t="0" r="0" b="0"/>
                  <wp:docPr id="8" name=""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 flipV="1">
                            <a:off x="0" y="0"/>
                            <a:ext cx="5469120" cy="47160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a:graphicData>
                  </a:graphic>
                </wp:inline>
              </w:drawing>
            </mc:Choice>
            <mc:Fallback>
              <w:pict>
                <v:shapetype id="shapetype_110" coordsize="21600,21600" o:spt="110" path="m,10800l10800,l21600,10800l10800,21600xe">
                  <v:stroke joinstyle="miter"/>
                  <v:formulas>
                    <v:f eqn="prod width 3 4"/>
                    <v:f eqn="prod height 3 4"/>
                  </v:formulas>
                  <v:path gradientshapeok="t" o:connecttype="rect" textboxrect="5400,5400,@0,@1"/>
                </v:shapetype>
                <v:shape id="shape_0" stroked="f" style="position:absolute;margin-left:0pt;margin-top:0pt;width:430.6pt;height:3.65pt;flip:y" wp14:anchorId="6A804E38" type="shapetype_110">
                  <w10:wrap type="none"/>
                  <v:imagedata r:id=""/>
                  <v:stroke color="#3465a4" joinstyle="round" endcap="flat"/>
                </v:shape>
              </w:pict>
            </mc:Fallback>
          </mc:AlternateContent>
        </w:r>
      </w:p>
      <w:p>
        <w:pPr>
          <w:pStyle w:val="Footer"/>
          <w:ind w:hanging="0"/>
          <w:jc w:val="center"/>
          <w:rPr/>
        </w:pPr>
        <w:r>
          <w:rPr/>
          <w:fldChar w:fldCharType="begin"/>
        </w:r>
        <w:r>
          <w:instrText> PAGE </w:instrText>
        </w:r>
        <w:r>
          <w:fldChar w:fldCharType="separate"/>
        </w:r>
        <w:r>
          <w:t>5</w:t>
        </w:r>
        <w:r>
          <w:fldChar w:fldCharType="end"/>
        </w:r>
      </w:p>
    </w:sdtContent>
  </w:sdt>
  <w:p>
    <w:pPr>
      <w:pStyle w:val="Footer"/>
      <w:jc w:val="center"/>
      <w:rPr>
        <w:rFonts w:ascii="Arial" w:hAnsi="Arial"/>
        <w:sz w:val="18"/>
        <w:szCs w:val="18"/>
      </w:rPr>
    </w:pPr>
    <w:r>
      <w:rPr>
        <w:rFonts w:ascii="Arial" w:hAnsi="Arial"/>
        <w:sz w:val="18"/>
        <w:szCs w:val="18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ind w:firstLine="993"/>
      <w:rPr/>
    </w:pPr>
    <w:r>
      <w:rPr/>
      <w:drawing>
        <wp:anchor behindDoc="1" distT="0" distB="5080" distL="114300" distR="119380" simplePos="0" locked="0" layoutInCell="1" allowOverlap="1" relativeHeight="6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19670" cy="1023620"/>
          <wp:effectExtent l="0" t="0" r="0" b="0"/>
          <wp:wrapNone/>
          <wp:docPr id="6" name="Picture 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19670" cy="1023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Header"/>
      <w:ind w:firstLine="993"/>
      <w:rPr/>
    </w:pPr>
    <w:r>
      <w:rPr/>
    </w:r>
  </w:p>
  <w:p>
    <w:pPr>
      <w:pStyle w:val="Header"/>
      <w:ind w:firstLine="993"/>
      <w:rPr/>
    </w:pPr>
    <w:r>
      <w:rPr/>
    </w:r>
  </w:p>
  <w:p>
    <w:pPr>
      <w:pStyle w:val="Header"/>
      <w:ind w:firstLine="993"/>
      <w:rPr/>
    </w:pPr>
    <w:r>
      <w:rPr/>
    </w:r>
  </w:p>
  <w:p>
    <w:pPr>
      <w:pStyle w:val="Header"/>
      <w:ind w:firstLine="993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  <w:p>
    <w:pPr>
      <w:pStyle w:val="Header"/>
      <w:rPr/>
    </w:pPr>
    <w:r>
      <w:rPr/>
      <w:drawing>
        <wp:anchor behindDoc="1" distT="0" distB="5080" distL="114300" distR="119380" simplePos="0" locked="0" layoutInCell="1" allowOverlap="1" relativeHeight="7">
          <wp:simplePos x="0" y="0"/>
          <wp:positionH relativeFrom="column">
            <wp:posOffset>-608330</wp:posOffset>
          </wp:positionH>
          <wp:positionV relativeFrom="margin">
            <wp:posOffset>-914400</wp:posOffset>
          </wp:positionV>
          <wp:extent cx="7519670" cy="1023620"/>
          <wp:effectExtent l="0" t="0" r="0" b="0"/>
          <wp:wrapTopAndBottom/>
          <wp:docPr id="7" name="Image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19670" cy="1023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decimal"/>
      <w:lvlText w:val="%1."/>
      <w:lvlJc w:val="left"/>
      <w:pPr>
        <w:ind w:left="360" w:hanging="360"/>
      </w:pPr>
    </w:lvl>
    <w:lvl w:ilvl="1">
      <w:start w:val="1"/>
      <w:pStyle w:val="Heading2"/>
      <w:numFmt w:val="decimal"/>
      <w:lvlText w:val="%1.%2."/>
      <w:lvlJc w:val="left"/>
      <w:pPr>
        <w:ind w:left="792" w:hanging="432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lvl w:ilvl="0">
      <w:start w:val="1"/>
      <w:numFmt w:val="bullet"/>
      <w:lvlText w:val=""/>
      <w:lvlJc w:val="left"/>
      <w:pPr>
        <w:ind w:left="1440" w:hanging="360"/>
      </w:pPr>
      <w:rPr>
        <w:rFonts w:ascii="Wingdings" w:hAnsi="Wingdings" w:cs="Wingdings" w:hint="default"/>
        <w:rFonts w:cs="Wingding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  <w:rFonts w:cs="Wingdings"/>
      </w:rPr>
    </w:lvl>
  </w:abstractNum>
  <w:abstractNum w:abstractNumId="3">
    <w:lvl w:ilvl="0">
      <w:start w:val="1"/>
      <w:numFmt w:val="bullet"/>
      <w:lvlText w:val=""/>
      <w:lvlJc w:val="left"/>
      <w:pPr>
        <w:ind w:left="1440" w:hanging="360"/>
      </w:pPr>
      <w:rPr>
        <w:rFonts w:ascii="Wingdings" w:hAnsi="Wingdings" w:cs="Wingdings" w:hint="default"/>
        <w:rFonts w:cs="Wingding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  <w:rFonts w:cs="Wingdings"/>
      </w:rPr>
    </w:lvl>
  </w:abstractNum>
  <w:abstractNum w:abstractNumId="4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embedSystem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pt-BR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ＭＳ 明朝" w:cs="" w:asciiTheme="minorHAnsi" w:cstheme="minorBidi" w:eastAsiaTheme="minorEastAsia" w:hAnsiTheme="minorHAnsi"/>
        <w:szCs w:val="24"/>
        <w:lang w:val="pt-BR" w:eastAsia="en-US" w:bidi="ar-SA"/>
      </w:rPr>
    </w:rPrDefault>
    <w:pPrDefault>
      <w:pPr/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Hyperlink" w:semiHidden="1" w:unhideWhenUsed="1"/>
    <w:lsdException w:name="Hashtag" w:semiHidden="1" w:unhideWhenUsed="1"/>
  </w:latentStyles>
  <w:style w:type="paragraph" w:styleId="Normal" w:default="1">
    <w:name w:val="Normal"/>
    <w:qFormat/>
    <w:rsid w:val="006d66b6"/>
    <w:pPr>
      <w:widowControl/>
      <w:bidi w:val="0"/>
      <w:ind w:firstLine="720"/>
      <w:jc w:val="both"/>
    </w:pPr>
    <w:rPr>
      <w:rFonts w:ascii="Cambria" w:hAnsi="Cambria" w:eastAsia="ＭＳ 明朝" w:cs="" w:asciiTheme="minorHAnsi" w:cstheme="minorBidi" w:eastAsiaTheme="minorEastAsia" w:hAnsiTheme="minorHAnsi"/>
      <w:color w:val="00000A"/>
      <w:sz w:val="24"/>
      <w:szCs w:val="24"/>
      <w:lang w:val="pt-BR" w:eastAsia="en-US" w:bidi="ar-SA"/>
    </w:rPr>
  </w:style>
  <w:style w:type="paragraph" w:styleId="Heading1">
    <w:name w:val="Heading 1"/>
    <w:basedOn w:val="Normal"/>
    <w:next w:val="Normal"/>
    <w:link w:val="Ttulo1Char"/>
    <w:uiPriority w:val="9"/>
    <w:qFormat/>
    <w:rsid w:val="00dc63c5"/>
    <w:pPr>
      <w:keepNext/>
      <w:keepLines/>
      <w:numPr>
        <w:ilvl w:val="0"/>
        <w:numId w:val="1"/>
      </w:numPr>
      <w:spacing w:before="240" w:after="0"/>
      <w:outlineLvl w:val="0"/>
      <w:outlineLvl w:val="0"/>
    </w:pPr>
    <w:rPr>
      <w:rFonts w:ascii="Calibri" w:hAnsi="Calibri" w:eastAsia="ＭＳ ゴシック" w:cs="" w:asciiTheme="majorHAnsi" w:cstheme="majorBidi" w:eastAsiaTheme="majorEastAsia" w:hAnsiTheme="majorHAnsi"/>
      <w:color w:val="365F91" w:themeColor="accent1" w:themeShade="bf"/>
      <w:sz w:val="32"/>
      <w:szCs w:val="32"/>
    </w:rPr>
  </w:style>
  <w:style w:type="paragraph" w:styleId="Heading2">
    <w:name w:val="Heading 2"/>
    <w:basedOn w:val="Index"/>
    <w:next w:val="Normal"/>
    <w:link w:val="Ttulo2Char"/>
    <w:uiPriority w:val="9"/>
    <w:unhideWhenUsed/>
    <w:qFormat/>
    <w:rsid w:val="00dc63c5"/>
    <w:pPr>
      <w:numPr>
        <w:ilvl w:val="1"/>
        <w:numId w:val="1"/>
      </w:numPr>
      <w:outlineLvl w:val="1"/>
      <w:outlineLvl w:val="1"/>
    </w:pPr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abealhoChar" w:customStyle="1">
    <w:name w:val="Cabeçalho Char"/>
    <w:basedOn w:val="DefaultParagraphFont"/>
    <w:link w:val="Cabealho"/>
    <w:uiPriority w:val="99"/>
    <w:qFormat/>
    <w:rsid w:val="00b11ea7"/>
    <w:rPr/>
  </w:style>
  <w:style w:type="character" w:styleId="RodapChar" w:customStyle="1">
    <w:name w:val="Rodapé Char"/>
    <w:basedOn w:val="DefaultParagraphFont"/>
    <w:link w:val="Rodap"/>
    <w:uiPriority w:val="99"/>
    <w:qFormat/>
    <w:rsid w:val="00b11ea7"/>
    <w:rPr/>
  </w:style>
  <w:style w:type="character" w:styleId="TextodebaloChar" w:customStyle="1">
    <w:name w:val="Texto de balão Char"/>
    <w:basedOn w:val="DefaultParagraphFont"/>
    <w:link w:val="Textodebalo"/>
    <w:uiPriority w:val="99"/>
    <w:semiHidden/>
    <w:qFormat/>
    <w:rsid w:val="00b11ea7"/>
    <w:rPr>
      <w:rFonts w:ascii="Lucida Grande" w:hAnsi="Lucida Grande"/>
      <w:sz w:val="18"/>
      <w:szCs w:val="18"/>
    </w:rPr>
  </w:style>
  <w:style w:type="character" w:styleId="TtuloChar" w:customStyle="1">
    <w:name w:val="Título Char"/>
    <w:basedOn w:val="DefaultParagraphFont"/>
    <w:link w:val="Ttulo"/>
    <w:uiPriority w:val="10"/>
    <w:qFormat/>
    <w:rsid w:val="00da25c8"/>
    <w:rPr>
      <w:rFonts w:ascii="Calibri" w:hAnsi="Calibri" w:eastAsia="ＭＳ ゴシック" w:cs="" w:asciiTheme="majorHAnsi" w:cstheme="majorBidi" w:eastAsiaTheme="majorEastAsia" w:hAnsiTheme="majorHAnsi"/>
      <w:spacing w:val="0"/>
      <w:sz w:val="56"/>
      <w:szCs w:val="56"/>
    </w:rPr>
  </w:style>
  <w:style w:type="character" w:styleId="SubttuloChar" w:customStyle="1">
    <w:name w:val="Subtítulo Char"/>
    <w:basedOn w:val="DefaultParagraphFont"/>
    <w:link w:val="Subttulo"/>
    <w:uiPriority w:val="11"/>
    <w:qFormat/>
    <w:rsid w:val="00da25c8"/>
    <w:rPr>
      <w:color w:val="5A5A5A" w:themeColor="text1" w:themeTint="a5"/>
      <w:spacing w:val="15"/>
      <w:sz w:val="22"/>
      <w:szCs w:val="22"/>
    </w:rPr>
  </w:style>
  <w:style w:type="character" w:styleId="InternetLink">
    <w:name w:val="Internet Link"/>
    <w:basedOn w:val="DefaultParagraphFont"/>
    <w:uiPriority w:val="99"/>
    <w:unhideWhenUsed/>
    <w:rsid w:val="00dc63c5"/>
    <w:rPr>
      <w:color w:val="0000FF" w:themeColor="hyperlink"/>
      <w:u w:val="single"/>
    </w:rPr>
  </w:style>
  <w:style w:type="character" w:styleId="Ttulo1Char" w:customStyle="1">
    <w:name w:val="Título 1 Char"/>
    <w:basedOn w:val="DefaultParagraphFont"/>
    <w:link w:val="Ttulo1"/>
    <w:uiPriority w:val="9"/>
    <w:qFormat/>
    <w:rsid w:val="00dc63c5"/>
    <w:rPr>
      <w:rFonts w:ascii="Calibri" w:hAnsi="Calibri" w:eastAsia="ＭＳ ゴシック" w:cs="" w:asciiTheme="majorHAnsi" w:cstheme="majorBidi" w:eastAsiaTheme="majorEastAsia" w:hAnsiTheme="majorHAnsi"/>
      <w:color w:val="365F91" w:themeColor="accent1" w:themeShade="bf"/>
      <w:sz w:val="32"/>
      <w:szCs w:val="32"/>
    </w:rPr>
  </w:style>
  <w:style w:type="character" w:styleId="ListLabel1" w:customStyle="1">
    <w:name w:val="ListLabel 1"/>
    <w:qFormat/>
    <w:rsid w:val="00d47bff"/>
    <w:rPr/>
  </w:style>
  <w:style w:type="character" w:styleId="ListLabel2" w:customStyle="1">
    <w:name w:val="ListLabel 2"/>
    <w:qFormat/>
    <w:rPr>
      <w:rFonts w:cs="Courier New"/>
    </w:rPr>
  </w:style>
  <w:style w:type="character" w:styleId="ListLabel3" w:customStyle="1">
    <w:name w:val="ListLabel 3"/>
    <w:qFormat/>
    <w:rPr>
      <w:rFonts w:cs="Courier New"/>
    </w:rPr>
  </w:style>
  <w:style w:type="character" w:styleId="ListLabel4" w:customStyle="1">
    <w:name w:val="ListLabel 4"/>
    <w:qFormat/>
    <w:rPr>
      <w:rFonts w:cs="Courier New"/>
    </w:rPr>
  </w:style>
  <w:style w:type="character" w:styleId="ListLabel5" w:customStyle="1">
    <w:name w:val="ListLabel 5"/>
    <w:qFormat/>
    <w:rPr>
      <w:rFonts w:cs="Courier New"/>
    </w:rPr>
  </w:style>
  <w:style w:type="character" w:styleId="ListLabel6" w:customStyle="1">
    <w:name w:val="ListLabel 6"/>
    <w:qFormat/>
    <w:rPr>
      <w:rFonts w:cs="Courier New"/>
    </w:rPr>
  </w:style>
  <w:style w:type="character" w:styleId="Ttulo2Char" w:customStyle="1">
    <w:name w:val="Título 2 Char"/>
    <w:basedOn w:val="DefaultParagraphFont"/>
    <w:link w:val="Ttulo2"/>
    <w:uiPriority w:val="9"/>
    <w:qFormat/>
    <w:rsid w:val="00dc63c5"/>
    <w:rPr>
      <w:rFonts w:ascii="Calibri" w:hAnsi="Calibri" w:eastAsia="ＭＳ ゴシック" w:cs="" w:asciiTheme="majorHAnsi" w:cstheme="majorBidi" w:eastAsiaTheme="majorEastAsia" w:hAnsiTheme="majorHAnsi"/>
      <w:color w:val="365F91" w:themeColor="accent1" w:themeShade="bf"/>
      <w:sz w:val="32"/>
      <w:szCs w:val="32"/>
    </w:rPr>
  </w:style>
  <w:style w:type="character" w:styleId="ListLabel7">
    <w:name w:val="ListLabel 7"/>
    <w:qFormat/>
    <w:rPr>
      <w:rFonts w:cs="Wingdings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Wingdings"/>
    </w:rPr>
  </w:style>
  <w:style w:type="character" w:styleId="ListLabel10">
    <w:name w:val="ListLabel 10"/>
    <w:qFormat/>
    <w:rPr>
      <w:rFonts w:cs="Symbol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Wingdings"/>
    </w:rPr>
  </w:style>
  <w:style w:type="character" w:styleId="ListLabel13">
    <w:name w:val="ListLabel 13"/>
    <w:qFormat/>
    <w:rPr>
      <w:rFonts w:cs="Symbol"/>
    </w:rPr>
  </w:style>
  <w:style w:type="character" w:styleId="ListLabel14">
    <w:name w:val="ListLabel 14"/>
    <w:qFormat/>
    <w:rPr>
      <w:rFonts w:cs="Courier New"/>
    </w:rPr>
  </w:style>
  <w:style w:type="character" w:styleId="ListLabel15">
    <w:name w:val="ListLabel 15"/>
    <w:qFormat/>
    <w:rPr>
      <w:rFonts w:cs="Wingdings"/>
    </w:rPr>
  </w:style>
  <w:style w:type="character" w:styleId="ListLabel16">
    <w:name w:val="ListLabel 16"/>
    <w:qFormat/>
    <w:rPr>
      <w:rFonts w:cs="Symbol"/>
    </w:rPr>
  </w:style>
  <w:style w:type="character" w:styleId="ListLabel17">
    <w:name w:val="ListLabel 17"/>
    <w:qFormat/>
    <w:rPr>
      <w:rFonts w:cs="Courier New"/>
    </w:rPr>
  </w:style>
  <w:style w:type="character" w:styleId="ListLabel18">
    <w:name w:val="ListLabel 18"/>
    <w:qFormat/>
    <w:rPr>
      <w:rFonts w:cs="Wingdings"/>
    </w:rPr>
  </w:style>
  <w:style w:type="character" w:styleId="ListLabel19">
    <w:name w:val="ListLabel 19"/>
    <w:qFormat/>
    <w:rPr>
      <w:rFonts w:cs="Symbol"/>
    </w:rPr>
  </w:style>
  <w:style w:type="character" w:styleId="ListLabel20">
    <w:name w:val="ListLabel 20"/>
    <w:qFormat/>
    <w:rPr>
      <w:rFonts w:cs="Courier New"/>
    </w:rPr>
  </w:style>
  <w:style w:type="character" w:styleId="ListLabel21">
    <w:name w:val="ListLabel 21"/>
    <w:qFormat/>
    <w:rPr>
      <w:rFonts w:cs="Wingdings"/>
    </w:rPr>
  </w:style>
  <w:style w:type="character" w:styleId="ListLabel22">
    <w:name w:val="ListLabel 22"/>
    <w:qFormat/>
    <w:rPr>
      <w:rFonts w:cs="Symbol"/>
    </w:rPr>
  </w:style>
  <w:style w:type="character" w:styleId="ListLabel23">
    <w:name w:val="ListLabel 23"/>
    <w:qFormat/>
    <w:rPr>
      <w:rFonts w:cs="Courier New"/>
    </w:rPr>
  </w:style>
  <w:style w:type="character" w:styleId="ListLabel24">
    <w:name w:val="ListLabel 24"/>
    <w:qFormat/>
    <w:rPr>
      <w:rFonts w:cs="Wingdings"/>
    </w:rPr>
  </w:style>
  <w:style w:type="character" w:styleId="ListLabel25">
    <w:name w:val="ListLabel 25"/>
    <w:qFormat/>
    <w:rPr>
      <w:rFonts w:cs="Courier New"/>
    </w:rPr>
  </w:style>
  <w:style w:type="character" w:styleId="ListLabel26">
    <w:name w:val="ListLabel 26"/>
    <w:qFormat/>
    <w:rPr>
      <w:rFonts w:cs="Courier New"/>
    </w:rPr>
  </w:style>
  <w:style w:type="character" w:styleId="ListLabel27">
    <w:name w:val="ListLabel 27"/>
    <w:qFormat/>
    <w:rPr>
      <w:rFonts w:cs="Courier New"/>
    </w:rPr>
  </w:style>
  <w:style w:type="character" w:styleId="IndexLink">
    <w:name w:val="Index Link"/>
    <w:qFormat/>
    <w:rPr/>
  </w:style>
  <w:style w:type="character" w:styleId="ListLabel28">
    <w:name w:val="ListLabel 28"/>
    <w:qFormat/>
    <w:rPr>
      <w:rFonts w:cs="Wingdings"/>
    </w:rPr>
  </w:style>
  <w:style w:type="character" w:styleId="ListLabel29">
    <w:name w:val="ListLabel 29"/>
    <w:qFormat/>
    <w:rPr>
      <w:rFonts w:cs="Courier New"/>
    </w:rPr>
  </w:style>
  <w:style w:type="character" w:styleId="ListLabel30">
    <w:name w:val="ListLabel 30"/>
    <w:qFormat/>
    <w:rPr>
      <w:rFonts w:cs="Wingdings"/>
    </w:rPr>
  </w:style>
  <w:style w:type="character" w:styleId="ListLabel31">
    <w:name w:val="ListLabel 31"/>
    <w:qFormat/>
    <w:rPr>
      <w:rFonts w:cs="Symbol"/>
    </w:rPr>
  </w:style>
  <w:style w:type="character" w:styleId="ListLabel32">
    <w:name w:val="ListLabel 32"/>
    <w:qFormat/>
    <w:rPr>
      <w:rFonts w:cs="Courier New"/>
    </w:rPr>
  </w:style>
  <w:style w:type="character" w:styleId="ListLabel33">
    <w:name w:val="ListLabel 33"/>
    <w:qFormat/>
    <w:rPr>
      <w:rFonts w:cs="Wingdings"/>
    </w:rPr>
  </w:style>
  <w:style w:type="character" w:styleId="ListLabel34">
    <w:name w:val="ListLabel 34"/>
    <w:qFormat/>
    <w:rPr>
      <w:rFonts w:cs="Symbol"/>
    </w:rPr>
  </w:style>
  <w:style w:type="character" w:styleId="ListLabel35">
    <w:name w:val="ListLabel 35"/>
    <w:qFormat/>
    <w:rPr>
      <w:rFonts w:cs="Courier New"/>
    </w:rPr>
  </w:style>
  <w:style w:type="character" w:styleId="ListLabel36">
    <w:name w:val="ListLabel 36"/>
    <w:qFormat/>
    <w:rPr>
      <w:rFonts w:cs="Wingdings"/>
    </w:rPr>
  </w:style>
  <w:style w:type="character" w:styleId="ListLabel37">
    <w:name w:val="ListLabel 37"/>
    <w:qFormat/>
    <w:rPr>
      <w:rFonts w:cs="Wingdings"/>
    </w:rPr>
  </w:style>
  <w:style w:type="character" w:styleId="ListLabel38">
    <w:name w:val="ListLabel 38"/>
    <w:qFormat/>
    <w:rPr>
      <w:rFonts w:cs="Courier New"/>
    </w:rPr>
  </w:style>
  <w:style w:type="character" w:styleId="ListLabel39">
    <w:name w:val="ListLabel 39"/>
    <w:qFormat/>
    <w:rPr>
      <w:rFonts w:cs="Wingdings"/>
    </w:rPr>
  </w:style>
  <w:style w:type="character" w:styleId="ListLabel40">
    <w:name w:val="ListLabel 40"/>
    <w:qFormat/>
    <w:rPr>
      <w:rFonts w:cs="Symbol"/>
    </w:rPr>
  </w:style>
  <w:style w:type="character" w:styleId="ListLabel41">
    <w:name w:val="ListLabel 41"/>
    <w:qFormat/>
    <w:rPr>
      <w:rFonts w:cs="Courier New"/>
    </w:rPr>
  </w:style>
  <w:style w:type="character" w:styleId="ListLabel42">
    <w:name w:val="ListLabel 42"/>
    <w:qFormat/>
    <w:rPr>
      <w:rFonts w:cs="Wingdings"/>
    </w:rPr>
  </w:style>
  <w:style w:type="character" w:styleId="ListLabel43">
    <w:name w:val="ListLabel 43"/>
    <w:qFormat/>
    <w:rPr>
      <w:rFonts w:cs="Symbol"/>
    </w:rPr>
  </w:style>
  <w:style w:type="character" w:styleId="ListLabel44">
    <w:name w:val="ListLabel 44"/>
    <w:qFormat/>
    <w:rPr>
      <w:rFonts w:cs="Courier New"/>
    </w:rPr>
  </w:style>
  <w:style w:type="character" w:styleId="ListLabel45">
    <w:name w:val="ListLabel 45"/>
    <w:qFormat/>
    <w:rPr>
      <w:rFonts w:cs="Wingdings"/>
    </w:rPr>
  </w:style>
  <w:style w:type="character" w:styleId="ListLabel46">
    <w:name w:val="ListLabel 46"/>
    <w:qFormat/>
    <w:rPr>
      <w:rFonts w:cs="Wingdings"/>
    </w:rPr>
  </w:style>
  <w:style w:type="character" w:styleId="ListLabel47">
    <w:name w:val="ListLabel 47"/>
    <w:qFormat/>
    <w:rPr>
      <w:rFonts w:cs="Courier New"/>
    </w:rPr>
  </w:style>
  <w:style w:type="character" w:styleId="ListLabel48">
    <w:name w:val="ListLabel 48"/>
    <w:qFormat/>
    <w:rPr>
      <w:rFonts w:cs="Wingdings"/>
    </w:rPr>
  </w:style>
  <w:style w:type="character" w:styleId="ListLabel49">
    <w:name w:val="ListLabel 49"/>
    <w:qFormat/>
    <w:rPr>
      <w:rFonts w:cs="Symbol"/>
    </w:rPr>
  </w:style>
  <w:style w:type="character" w:styleId="ListLabel50">
    <w:name w:val="ListLabel 50"/>
    <w:qFormat/>
    <w:rPr>
      <w:rFonts w:cs="Courier New"/>
    </w:rPr>
  </w:style>
  <w:style w:type="character" w:styleId="ListLabel51">
    <w:name w:val="ListLabel 51"/>
    <w:qFormat/>
    <w:rPr>
      <w:rFonts w:cs="Wingdings"/>
    </w:rPr>
  </w:style>
  <w:style w:type="character" w:styleId="ListLabel52">
    <w:name w:val="ListLabel 52"/>
    <w:qFormat/>
    <w:rPr>
      <w:rFonts w:cs="Symbol"/>
    </w:rPr>
  </w:style>
  <w:style w:type="character" w:styleId="ListLabel53">
    <w:name w:val="ListLabel 53"/>
    <w:qFormat/>
    <w:rPr>
      <w:rFonts w:cs="Courier New"/>
    </w:rPr>
  </w:style>
  <w:style w:type="character" w:styleId="ListLabel54">
    <w:name w:val="ListLabel 54"/>
    <w:qFormat/>
    <w:rPr>
      <w:rFonts w:cs="Wingdings"/>
    </w:rPr>
  </w:style>
  <w:style w:type="character" w:styleId="ListLabel55">
    <w:name w:val="ListLabel 55"/>
    <w:qFormat/>
    <w:rPr>
      <w:rFonts w:cs="Wingdings"/>
    </w:rPr>
  </w:style>
  <w:style w:type="character" w:styleId="ListLabel56">
    <w:name w:val="ListLabel 56"/>
    <w:qFormat/>
    <w:rPr>
      <w:rFonts w:cs="Courier New"/>
    </w:rPr>
  </w:style>
  <w:style w:type="character" w:styleId="ListLabel57">
    <w:name w:val="ListLabel 57"/>
    <w:qFormat/>
    <w:rPr>
      <w:rFonts w:cs="Wingdings"/>
    </w:rPr>
  </w:style>
  <w:style w:type="character" w:styleId="ListLabel58">
    <w:name w:val="ListLabel 58"/>
    <w:qFormat/>
    <w:rPr>
      <w:rFonts w:cs="Symbol"/>
    </w:rPr>
  </w:style>
  <w:style w:type="character" w:styleId="ListLabel59">
    <w:name w:val="ListLabel 59"/>
    <w:qFormat/>
    <w:rPr>
      <w:rFonts w:cs="Courier New"/>
    </w:rPr>
  </w:style>
  <w:style w:type="character" w:styleId="ListLabel60">
    <w:name w:val="ListLabel 60"/>
    <w:qFormat/>
    <w:rPr>
      <w:rFonts w:cs="Wingdings"/>
    </w:rPr>
  </w:style>
  <w:style w:type="character" w:styleId="ListLabel61">
    <w:name w:val="ListLabel 61"/>
    <w:qFormat/>
    <w:rPr>
      <w:rFonts w:cs="Symbol"/>
    </w:rPr>
  </w:style>
  <w:style w:type="character" w:styleId="ListLabel62">
    <w:name w:val="ListLabel 62"/>
    <w:qFormat/>
    <w:rPr>
      <w:rFonts w:cs="Courier New"/>
    </w:rPr>
  </w:style>
  <w:style w:type="character" w:styleId="ListLabel63">
    <w:name w:val="ListLabel 63"/>
    <w:qFormat/>
    <w:rPr>
      <w:rFonts w:cs="Wingdings"/>
    </w:rPr>
  </w:style>
  <w:style w:type="paragraph" w:styleId="Heading" w:customStyle="1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 w:customStyle="1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 w:customStyle="1">
    <w:name w:val="Index"/>
    <w:basedOn w:val="Heading1"/>
    <w:qFormat/>
    <w:rsid w:val="00d47bff"/>
    <w:pPr>
      <w:numPr>
        <w:ilvl w:val="0"/>
        <w:numId w:val="0"/>
      </w:numPr>
      <w:ind w:firstLine="720"/>
    </w:pPr>
    <w:rPr/>
  </w:style>
  <w:style w:type="paragraph" w:styleId="Caption1">
    <w:name w:val="caption"/>
    <w:basedOn w:val="Normal"/>
    <w:next w:val="Normal"/>
    <w:uiPriority w:val="35"/>
    <w:unhideWhenUsed/>
    <w:qFormat/>
    <w:rsid w:val="003f4054"/>
    <w:pPr>
      <w:spacing w:before="0" w:after="200"/>
    </w:pPr>
    <w:rPr>
      <w:i/>
      <w:iCs/>
      <w:color w:val="1F497D" w:themeColor="text2"/>
      <w:sz w:val="18"/>
      <w:szCs w:val="18"/>
    </w:rPr>
  </w:style>
  <w:style w:type="paragraph" w:styleId="Header">
    <w:name w:val="Header"/>
    <w:basedOn w:val="Normal"/>
    <w:link w:val="CabealhoChar"/>
    <w:uiPriority w:val="99"/>
    <w:unhideWhenUsed/>
    <w:rsid w:val="00b11ea7"/>
    <w:pPr>
      <w:tabs>
        <w:tab w:val="center" w:pos="4320" w:leader="none"/>
        <w:tab w:val="right" w:pos="8640" w:leader="none"/>
      </w:tabs>
    </w:pPr>
    <w:rPr/>
  </w:style>
  <w:style w:type="paragraph" w:styleId="Footer">
    <w:name w:val="Footer"/>
    <w:basedOn w:val="Normal"/>
    <w:link w:val="RodapChar"/>
    <w:uiPriority w:val="99"/>
    <w:unhideWhenUsed/>
    <w:rsid w:val="00b11ea7"/>
    <w:pPr>
      <w:tabs>
        <w:tab w:val="center" w:pos="4320" w:leader="none"/>
        <w:tab w:val="right" w:pos="8640" w:leader="none"/>
      </w:tabs>
    </w:pPr>
    <w:rPr/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b11ea7"/>
    <w:pPr/>
    <w:rPr>
      <w:rFonts w:ascii="Lucida Grande" w:hAnsi="Lucida Grande"/>
      <w:sz w:val="18"/>
      <w:szCs w:val="18"/>
    </w:rPr>
  </w:style>
  <w:style w:type="paragraph" w:styleId="Title">
    <w:name w:val="Title"/>
    <w:basedOn w:val="Normal"/>
    <w:next w:val="Normal"/>
    <w:link w:val="TtuloChar"/>
    <w:uiPriority w:val="10"/>
    <w:qFormat/>
    <w:rsid w:val="00da25c8"/>
    <w:pPr>
      <w:spacing w:before="0" w:after="0"/>
      <w:contextualSpacing/>
    </w:pPr>
    <w:rPr>
      <w:rFonts w:ascii="Calibri" w:hAnsi="Calibri" w:eastAsia="ＭＳ ゴシック" w:cs="" w:asciiTheme="majorHAnsi" w:cstheme="majorBidi" w:eastAsiaTheme="majorEastAsia" w:hAnsiTheme="majorHAnsi"/>
      <w:sz w:val="56"/>
      <w:szCs w:val="56"/>
    </w:rPr>
  </w:style>
  <w:style w:type="paragraph" w:styleId="Subtitle">
    <w:name w:val="Subtitle"/>
    <w:basedOn w:val="Normal"/>
    <w:next w:val="Normal"/>
    <w:link w:val="SubttuloChar"/>
    <w:uiPriority w:val="11"/>
    <w:qFormat/>
    <w:rsid w:val="00da25c8"/>
    <w:pPr>
      <w:spacing w:before="0" w:after="160"/>
    </w:pPr>
    <w:rPr>
      <w:color w:val="5A5A5A" w:themeColor="text1" w:themeTint="a5"/>
      <w:spacing w:val="15"/>
      <w:sz w:val="22"/>
      <w:szCs w:val="22"/>
    </w:rPr>
  </w:style>
  <w:style w:type="paragraph" w:styleId="ListParagraph">
    <w:name w:val="List Paragraph"/>
    <w:basedOn w:val="Normal"/>
    <w:uiPriority w:val="34"/>
    <w:qFormat/>
    <w:rsid w:val="006d66b6"/>
    <w:pPr>
      <w:spacing w:before="0" w:after="0"/>
      <w:ind w:left="720" w:firstLine="720"/>
      <w:contextualSpacing/>
    </w:pPr>
    <w:rPr/>
  </w:style>
  <w:style w:type="paragraph" w:styleId="TOCHeading">
    <w:name w:val="TOC Heading"/>
    <w:basedOn w:val="Heading1"/>
    <w:next w:val="Normal"/>
    <w:uiPriority w:val="39"/>
    <w:unhideWhenUsed/>
    <w:qFormat/>
    <w:rsid w:val="00dc63c5"/>
    <w:pPr>
      <w:numPr>
        <w:ilvl w:val="0"/>
        <w:numId w:val="0"/>
      </w:numPr>
      <w:spacing w:lineRule="auto" w:line="259"/>
      <w:ind w:firstLine="720"/>
      <w:jc w:val="left"/>
    </w:pPr>
    <w:rPr>
      <w:lang w:eastAsia="pt-BR"/>
    </w:rPr>
  </w:style>
  <w:style w:type="paragraph" w:styleId="Contents1">
    <w:name w:val="TOC 1"/>
    <w:basedOn w:val="Normal"/>
    <w:next w:val="Normal"/>
    <w:autoRedefine/>
    <w:uiPriority w:val="39"/>
    <w:unhideWhenUsed/>
    <w:rsid w:val="00dc63c5"/>
    <w:pPr>
      <w:spacing w:before="0" w:after="100"/>
    </w:pPr>
    <w:rPr/>
  </w:style>
  <w:style w:type="paragraph" w:styleId="Contents2">
    <w:name w:val="TOC 2"/>
    <w:basedOn w:val="Normal"/>
    <w:next w:val="Normal"/>
    <w:autoRedefine/>
    <w:uiPriority w:val="39"/>
    <w:unhideWhenUsed/>
    <w:rsid w:val="00dc63c5"/>
    <w:pPr>
      <w:spacing w:before="0" w:after="100"/>
      <w:ind w:left="240" w:firstLine="72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eladeGrade4-nfase1">
    <w:name w:val="Grid Table 4 Accent 1"/>
    <w:basedOn w:val="Tabelanormal"/>
    <w:uiPriority w:val="49"/>
    <w:rsid w:val="00290d5c"/>
    <w:tblPr>
      <w:tblStyleRowBandSize w:val="1"/>
      <w:tblStyleColBandSize w:val="1"/>
      <w:tblBorders>
        <w:top w:val="single" w:color="95B3D7" w:themeColor="accent1" w:themeTint="99" w:sz="4" w:space="0"/>
        <w:left w:val="single" w:color="95B3D7" w:themeColor="accent1" w:themeTint="99" w:sz="4" w:space="0"/>
        <w:bottom w:val="single" w:color="95B3D7" w:themeColor="accent1" w:themeTint="99" w:sz="4" w:space="0"/>
        <w:right w:val="single" w:color="95B3D7" w:themeColor="accent1" w:themeTint="99" w:sz="4" w:space="0"/>
        <w:insideH w:val="single" w:color="95B3D7" w:themeColor="accent1" w:themeTint="99" w:sz="4" w:space="0"/>
        <w:insideV w:val="single" w:color="95B3D7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color="4F81BD" w:themeColor="accen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header" Target="header1.xml"/><Relationship Id="rId8" Type="http://schemas.openxmlformats.org/officeDocument/2006/relationships/header" Target="header2.xml"/><Relationship Id="rId9" Type="http://schemas.openxmlformats.org/officeDocument/2006/relationships/footer" Target="footer1.xml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<Relationship Id="rId14" Type="http://schemas.openxmlformats.org/officeDocument/2006/relationships/customXml" Target="../customXml/item1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6.jpe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7.jpe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8CAA40-9A6F-4A3C-82C9-CD79BA2CCC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7651</TotalTime>
  <Application>LibreOffice/5.1.6.2$Linux_X86_64 LibreOffice_project/10m0$Build-2</Application>
  <Pages>6</Pages>
  <Words>609</Words>
  <Characters>3456</Characters>
  <CharactersWithSpaces>3980</CharactersWithSpaces>
  <Paragraphs>71</Paragraphs>
  <Company>CNPEM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2017-04-13T20:06:00Z</dcterms:created>
  <dc:creator>William Barbosa</dc:creator>
  <dc:description/>
  <dc:language>pt-BR</dc:language>
  <cp:lastModifiedBy/>
  <cp:lastPrinted>2017-08-23T13:00:00Z</cp:lastPrinted>
  <dcterms:modified xsi:type="dcterms:W3CDTF">2018-08-01T12:06:34Z</dcterms:modified>
  <cp:revision>54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CNPEM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